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B6" w:rsidRPr="008F57B6" w:rsidRDefault="008F57B6" w:rsidP="008F57B6">
      <w:pPr>
        <w:spacing w:before="26" w:after="0" w:line="254" w:lineRule="auto"/>
        <w:ind w:right="81"/>
        <w:jc w:val="both"/>
        <w:rPr>
          <w:rFonts w:ascii="Times New Roman" w:eastAsia="Calibri" w:hAnsi="Times New Roman" w:cs="Times New Roman"/>
          <w:bCs/>
          <w:color w:val="000000"/>
          <w:sz w:val="24"/>
          <w:szCs w:val="24"/>
          <w:lang w:val="en-GB" w:eastAsia="sr-Latn-CS" w:bidi="sr-Latn-CS"/>
        </w:rPr>
      </w:pPr>
      <w:r w:rsidRPr="008F57B6">
        <w:rPr>
          <w:rFonts w:ascii="Times New Roman" w:eastAsia="Calibri" w:hAnsi="Times New Roman" w:cs="Times New Roman"/>
          <w:bCs/>
          <w:color w:val="000000"/>
          <w:sz w:val="24"/>
          <w:szCs w:val="24"/>
          <w:lang w:val="en-GB" w:eastAsia="sr-Latn-CS" w:bidi="sr-Latn-CS"/>
        </w:rPr>
        <w:t>Children’s earliest years represent a critical phase of development. In the first years of life, starting with conception, and with a focus on the first 1,000 days (until two years of age) and into the next 1000 days, a child’s brain forms neural connections at a speed and complexity never repeated again</w:t>
      </w:r>
      <w:r w:rsidRPr="008F57B6">
        <w:rPr>
          <w:rFonts w:ascii="Times New Roman" w:eastAsia="Calibri" w:hAnsi="Times New Roman" w:cs="Times New Roman"/>
          <w:bCs/>
          <w:color w:val="000000"/>
          <w:sz w:val="24"/>
          <w:szCs w:val="24"/>
          <w:vertAlign w:val="superscript"/>
          <w:lang w:val="en-GB" w:eastAsia="sr-Latn-CS" w:bidi="sr-Latn-CS"/>
        </w:rPr>
        <w:footnoteReference w:id="1"/>
      </w:r>
      <w:r w:rsidRPr="008F57B6">
        <w:rPr>
          <w:rFonts w:ascii="Times New Roman" w:eastAsia="Calibri" w:hAnsi="Times New Roman" w:cs="Times New Roman"/>
          <w:bCs/>
          <w:color w:val="000000"/>
          <w:sz w:val="24"/>
          <w:szCs w:val="24"/>
          <w:lang w:val="en-GB" w:eastAsia="sr-Latn-CS" w:bidi="sr-Latn-CS"/>
        </w:rPr>
        <w:t>. These connections are triggered by nurturing care, or the conditions characterized by good health, adequate nutrition, protection from harm and responsive stimulation, including warm and rich communication and playful early learning opportunities</w:t>
      </w:r>
      <w:r w:rsidRPr="008F57B6">
        <w:rPr>
          <w:rFonts w:ascii="Times New Roman" w:eastAsia="Calibri" w:hAnsi="Times New Roman" w:cs="Times New Roman"/>
          <w:bCs/>
          <w:color w:val="000000"/>
          <w:sz w:val="24"/>
          <w:szCs w:val="24"/>
          <w:vertAlign w:val="superscript"/>
          <w:lang w:val="en-GB" w:eastAsia="sr-Latn-CS" w:bidi="sr-Latn-CS"/>
        </w:rPr>
        <w:footnoteReference w:id="2"/>
      </w:r>
      <w:r w:rsidRPr="008F57B6">
        <w:rPr>
          <w:rFonts w:ascii="Times New Roman" w:eastAsia="Calibri" w:hAnsi="Times New Roman" w:cs="Times New Roman"/>
          <w:bCs/>
          <w:color w:val="000000"/>
          <w:sz w:val="24"/>
          <w:szCs w:val="24"/>
          <w:lang w:val="en-GB" w:eastAsia="sr-Latn-CS" w:bidi="sr-Latn-CS"/>
        </w:rPr>
        <w:t xml:space="preserve">. Caregivers and parents have a very important role to play in the development of their children, as their responsive and playful interactions with their children positively and permanently strengthen the actualization of developmental potential. Parents are they key architects of a child’s early environment by enabling the provision of the core ingredients for early brain development – nutrition, stimulation and protection. </w:t>
      </w:r>
    </w:p>
    <w:p w:rsidR="008F57B6" w:rsidRPr="008F57B6" w:rsidRDefault="008F57B6" w:rsidP="008F57B6">
      <w:pPr>
        <w:spacing w:before="26" w:after="0" w:line="254" w:lineRule="auto"/>
        <w:ind w:right="572"/>
        <w:jc w:val="both"/>
        <w:rPr>
          <w:rFonts w:ascii="Times New Roman" w:eastAsia="Calibri" w:hAnsi="Times New Roman" w:cs="Times New Roman"/>
          <w:bCs/>
          <w:color w:val="000000"/>
          <w:sz w:val="24"/>
          <w:szCs w:val="24"/>
          <w:lang w:val="en-GB" w:eastAsia="sr-Latn-CS" w:bidi="sr-Latn-CS"/>
        </w:rPr>
      </w:pPr>
    </w:p>
    <w:p w:rsidR="008F57B6" w:rsidRPr="008F57B6" w:rsidRDefault="008F57B6" w:rsidP="008F57B6">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r w:rsidRPr="008F57B6">
        <w:rPr>
          <w:rFonts w:ascii="Times New Roman" w:eastAsia="TimesNewRomanPSMT" w:hAnsi="Times New Roman" w:cs="Times New Roman"/>
          <w:sz w:val="24"/>
          <w:szCs w:val="24"/>
          <w:lang w:val="en-GB"/>
        </w:rPr>
        <w:t>A recent study by the Association of Paediatricians and the Institute of Psychology, which aimed to standardize and develop an instrument for early childhood development screening instruments indicates that around 8-12% of children aged 0-6 exhibit developmental risks, while an additional 5% already demonstrate developmental delays or disabilities. Notably, the difference in child development between the poorest and richest quintiles corresponds to a 16-month gap. Based on these findings, it is crucial to focus on providing special attention and support to vulnerable children in Serbia. Various unfavourable indicators for children from the Roma population in Serbia cause particular concern, especially for those who live in marginalized settlements and low-income families. Children from the poorest families (particularly in Roma settlements) in Serbia are involved in early development programs and later education in a significantly lower percentage comparing to general population. At the same time, every 5th child form that population is stunted, they are more exposed to violent disciplinary practice, and they have the least stimulating materials (MICS 6, 2019)</w:t>
      </w:r>
      <w:r w:rsidRPr="008F57B6">
        <w:rPr>
          <w:rFonts w:ascii="Times New Roman" w:eastAsia="TimesNewRomanPSMT" w:hAnsi="Times New Roman" w:cs="Times New Roman"/>
          <w:sz w:val="24"/>
          <w:szCs w:val="24"/>
          <w:vertAlign w:val="superscript"/>
          <w:lang w:val="en-GB"/>
        </w:rPr>
        <w:footnoteReference w:id="3"/>
      </w:r>
      <w:r w:rsidRPr="008F57B6">
        <w:rPr>
          <w:rFonts w:ascii="Times New Roman" w:eastAsia="TimesNewRomanPSMT" w:hAnsi="Times New Roman" w:cs="Times New Roman"/>
          <w:sz w:val="24"/>
          <w:szCs w:val="24"/>
          <w:lang w:val="en-GB"/>
        </w:rPr>
        <w:t xml:space="preserve">. </w:t>
      </w:r>
      <w:r w:rsidRPr="008F57B6">
        <w:rPr>
          <w:rFonts w:ascii="Times New Roman" w:eastAsia="Calibri" w:hAnsi="Times New Roman" w:cs="Times New Roman"/>
          <w:color w:val="000000"/>
          <w:sz w:val="24"/>
          <w:szCs w:val="24"/>
          <w:lang w:val="en-GB"/>
        </w:rPr>
        <w:t xml:space="preserve">Major disparities have been observed between the mortality rates, nutritional status, and education among Roma children and other children. Roma children under the age of 5.5 are far less involved in preschool education. While the coverage of children aged 3 to 5.5 in preschool education amounts to about 50% in the general population, the rate in the Roma population is only 6%. </w:t>
      </w:r>
    </w:p>
    <w:p w:rsidR="008F57B6" w:rsidRPr="00AE6177" w:rsidRDefault="008F57B6" w:rsidP="008F57B6">
      <w:pPr>
        <w:autoSpaceDE w:val="0"/>
        <w:autoSpaceDN w:val="0"/>
        <w:adjustRightInd w:val="0"/>
        <w:spacing w:after="0" w:line="240" w:lineRule="auto"/>
        <w:jc w:val="both"/>
        <w:rPr>
          <w:rFonts w:cs="Times New Roman"/>
          <w:sz w:val="24"/>
          <w:szCs w:val="24"/>
        </w:rPr>
      </w:pPr>
      <w:r w:rsidRPr="00AE6177">
        <w:rPr>
          <w:rFonts w:cs="Times New Roman"/>
          <w:color w:val="000000"/>
          <w:sz w:val="24"/>
          <w:szCs w:val="24"/>
        </w:rPr>
        <w:t xml:space="preserve">The services that are provided to Roma families are desegregated, meaning there are communities and places with variety of services (besides the basic ones provided by the government) and in some smaller cities there are none. Additionally, the services and service providers are not coordinated. Certain problems also require the establishment of integrated services or at least precisely defined cooperation protocols, information exchange, and the formation of joint bodies/commissions. There is a gap in the knowledge and skills of staff working </w:t>
      </w:r>
      <w:r w:rsidRPr="00AE6177">
        <w:rPr>
          <w:rFonts w:cs="Times New Roman"/>
          <w:color w:val="000000"/>
          <w:sz w:val="24"/>
          <w:szCs w:val="24"/>
        </w:rPr>
        <w:lastRenderedPageBreak/>
        <w:t>in government institutions and CSOʹs. The knowledge that should be improved refers to the culturally competent practice, how to support parenting skills and promote early development of children in vulnerable Roma families. Existent organization of local community teams in securing and providing early development services to Roma families, doesn’t effectively respond to their needs due to various cultural, language, and legal barriers. Having that in mind, it is necessary to encourage and develop a social innovation approach to get better responses for the needs of Roma children’s parents in general, especially during periods of early development.</w:t>
      </w:r>
    </w:p>
    <w:p w:rsidR="008F57B6" w:rsidRPr="00AE6177" w:rsidRDefault="008F57B6" w:rsidP="008F57B6">
      <w:pPr>
        <w:pStyle w:val="NormalWeb"/>
        <w:spacing w:after="0"/>
      </w:pPr>
    </w:p>
    <w:p w:rsidR="008F57B6" w:rsidRPr="00AE6177" w:rsidRDefault="008F57B6" w:rsidP="008F57B6">
      <w:pPr>
        <w:autoSpaceDE w:val="0"/>
        <w:autoSpaceDN w:val="0"/>
        <w:adjustRightInd w:val="0"/>
        <w:spacing w:after="0" w:line="240" w:lineRule="auto"/>
        <w:jc w:val="both"/>
        <w:rPr>
          <w:rFonts w:eastAsia="TimesNewRomanPSMT" w:cs="Times New Roman"/>
          <w:sz w:val="24"/>
          <w:szCs w:val="24"/>
        </w:rPr>
      </w:pPr>
      <w:r w:rsidRPr="00AE6177">
        <w:rPr>
          <w:rFonts w:eastAsia="TimesNewRomanPSMT" w:cs="Times New Roman"/>
          <w:sz w:val="24"/>
          <w:szCs w:val="24"/>
        </w:rPr>
        <w:t>Raising awareness at all levels and aligning messages to parents about the importance and benefits of positive parenting practices and nurturing, responsive parenting during early development is crucial. Additionally, it emphasizes the need to strengthen existing support systems and introduce new ones accessible to parents from vulnerable groups.</w:t>
      </w:r>
    </w:p>
    <w:p w:rsidR="008F57B6" w:rsidRPr="00AE6177" w:rsidRDefault="008F57B6" w:rsidP="008F57B6">
      <w:pPr>
        <w:pStyle w:val="NormalWeb"/>
        <w:spacing w:after="0"/>
        <w:jc w:val="both"/>
      </w:pPr>
    </w:p>
    <w:p w:rsidR="008F57B6" w:rsidRPr="00AE6177" w:rsidRDefault="008F57B6" w:rsidP="008F57B6">
      <w:pPr>
        <w:pStyle w:val="Default"/>
        <w:jc w:val="both"/>
        <w:rPr>
          <w:rFonts w:ascii="Times New Roman" w:hAnsi="Times New Roman" w:cs="Times New Roman"/>
          <w:color w:val="auto"/>
          <w:lang w:val="en-GB"/>
        </w:rPr>
      </w:pPr>
      <w:r w:rsidRPr="20828744">
        <w:rPr>
          <w:rFonts w:ascii="Times New Roman" w:hAnsi="Times New Roman" w:cs="Times New Roman"/>
          <w:color w:val="auto"/>
          <w:lang w:val="en-GB"/>
        </w:rPr>
        <w:t xml:space="preserve">University of Belgrade – Faculty of Political Sciences is a partner in Erasmus+ KA220-VET - Cooperation partnerships in vocational education and training project from December 2022. Learning and Innovation Labs project, led by Research and development centre Linkoping from Sweden, brings together partners (universities and departments for social work) from Spain, Norway, Latvia, Slovenia, Serbia and the European Social Network from Belgium. The overall aim of this project is to develop and test a new </w:t>
      </w:r>
      <w:r w:rsidRPr="00FD062F">
        <w:rPr>
          <w:rFonts w:ascii="Times New Roman" w:hAnsi="Times New Roman" w:cs="Times New Roman"/>
          <w:color w:val="auto"/>
          <w:lang w:val="en-GB"/>
        </w:rPr>
        <w:t xml:space="preserve">'Learning and Innovation Lab' model and approach to developing new, more holistic and person </w:t>
      </w:r>
      <w:proofErr w:type="spellStart"/>
      <w:r w:rsidRPr="00FD062F">
        <w:rPr>
          <w:rFonts w:ascii="Times New Roman" w:hAnsi="Times New Roman" w:cs="Times New Roman"/>
          <w:color w:val="auto"/>
          <w:lang w:val="en-GB"/>
        </w:rPr>
        <w:t>centered</w:t>
      </w:r>
      <w:proofErr w:type="spellEnd"/>
      <w:r w:rsidRPr="00FD062F">
        <w:rPr>
          <w:rFonts w:ascii="Times New Roman" w:hAnsi="Times New Roman" w:cs="Times New Roman"/>
          <w:color w:val="auto"/>
          <w:lang w:val="en-GB"/>
        </w:rPr>
        <w:t xml:space="preserve"> approaches to the delivery of services to a range of vulnerable users of health and social care services and to the development of the new competencies and skill sets required by stakeholders and front line professional staff to implement innovation. A core feature of the project is that it will create new tools and products which will enable staff/stakeholders both to address systemic and organizational barriers to change and innovation and to develop and implement new more collaborative working methods with vulnerable client groups. In addition to the Lab model, the key products will include a dedicated transnational Learning &amp; Knowledge Platform and an online/blended Learning to Innovate Competency Framework and Learning Programme with supporting learning materials. Lab methodology involves set of actors and stakeholders (including target group) that together explore and experiment with matters of importance outside of existing hierarchical and organizational structures. Innovations are anchored in shared realities, needs and possibilities of the involved families, social service providers and other key stakeholders. This implies active and meaningful participation, acknowledge and respect of skills, competencies, needs and difficulties each actor brings into the collaboration in change process to go from challenges to solution.</w:t>
      </w:r>
    </w:p>
    <w:p w:rsidR="008F57B6" w:rsidRPr="00AE6177" w:rsidRDefault="008F57B6" w:rsidP="008F57B6">
      <w:pPr>
        <w:autoSpaceDE w:val="0"/>
        <w:autoSpaceDN w:val="0"/>
        <w:adjustRightInd w:val="0"/>
        <w:spacing w:after="0" w:line="240" w:lineRule="auto"/>
        <w:jc w:val="both"/>
        <w:rPr>
          <w:rFonts w:cs="Times New Roman"/>
          <w:sz w:val="24"/>
          <w:szCs w:val="24"/>
        </w:rPr>
      </w:pPr>
    </w:p>
    <w:p w:rsidR="00F905F2" w:rsidRDefault="008F57B6" w:rsidP="008F57B6">
      <w:r w:rsidRPr="00AE6177">
        <w:rPr>
          <w:rFonts w:cs="Times New Roman"/>
          <w:sz w:val="24"/>
          <w:szCs w:val="24"/>
        </w:rPr>
        <w:t xml:space="preserve">Within this project, the Faculty of Political Sciences is developing a Learning and Innovation Lab to support the early development of children from vulnerable Roma communities with partners in the municipality of Zemun, given that there is a well-established multidisciplinary early development support team. Starting from June 2023, a partnership was established with Municipality Zemun, UNICEF office in Serbia, </w:t>
      </w:r>
      <w:r w:rsidRPr="00AE6177">
        <w:rPr>
          <w:rFonts w:eastAsia="Calibri" w:cs="Times New Roman"/>
          <w:sz w:val="24"/>
          <w:szCs w:val="24"/>
        </w:rPr>
        <w:t xml:space="preserve">City Secretariat for Social </w:t>
      </w:r>
      <w:r w:rsidRPr="00AE6177">
        <w:rPr>
          <w:rFonts w:cs="Times New Roman"/>
          <w:sz w:val="24"/>
          <w:szCs w:val="24"/>
        </w:rPr>
        <w:t xml:space="preserve">Welfare, </w:t>
      </w:r>
      <w:r w:rsidRPr="00AE6177">
        <w:rPr>
          <w:rFonts w:eastAsia="Times New Roman" w:cs="Times New Roman"/>
          <w:bCs/>
          <w:sz w:val="24"/>
          <w:szCs w:val="24"/>
          <w:shd w:val="clear" w:color="auto" w:fill="FFFFFF"/>
        </w:rPr>
        <w:t>Preschool institution from Zemun</w:t>
      </w:r>
      <w:r w:rsidRPr="00AE6177">
        <w:rPr>
          <w:rFonts w:cs="Times New Roman"/>
          <w:bCs/>
          <w:sz w:val="24"/>
          <w:szCs w:val="24"/>
          <w:shd w:val="clear" w:color="auto" w:fill="FFFFFF"/>
        </w:rPr>
        <w:t xml:space="preserve">, </w:t>
      </w:r>
      <w:r w:rsidRPr="00AE6177">
        <w:rPr>
          <w:rFonts w:cs="Times New Roman"/>
          <w:sz w:val="24"/>
          <w:szCs w:val="24"/>
        </w:rPr>
        <w:t>Health care centre</w:t>
      </w:r>
      <w:r w:rsidRPr="00AE6177">
        <w:rPr>
          <w:rFonts w:eastAsia="Calibri" w:cs="Times New Roman"/>
          <w:sz w:val="24"/>
          <w:szCs w:val="24"/>
        </w:rPr>
        <w:t xml:space="preserve"> in Zemun</w:t>
      </w:r>
      <w:r w:rsidRPr="00AE6177">
        <w:rPr>
          <w:rFonts w:cs="Times New Roman"/>
          <w:sz w:val="24"/>
          <w:szCs w:val="24"/>
        </w:rPr>
        <w:t xml:space="preserve"> (including development centre, pediatric and </w:t>
      </w:r>
      <w:r>
        <w:rPr>
          <w:rFonts w:cs="Times New Roman"/>
          <w:sz w:val="24"/>
          <w:szCs w:val="24"/>
        </w:rPr>
        <w:t xml:space="preserve">home visiting nurses </w:t>
      </w:r>
      <w:r w:rsidRPr="00AE6177">
        <w:rPr>
          <w:rFonts w:cs="Times New Roman"/>
          <w:sz w:val="24"/>
          <w:szCs w:val="24"/>
        </w:rPr>
        <w:t>service), Center for Social Work Zemun and City Center for Social work Belgrade, and with several NGOs (</w:t>
      </w:r>
      <w:r w:rsidRPr="00AE6177">
        <w:rPr>
          <w:rFonts w:eastAsia="Calibri" w:cs="Times New Roman"/>
          <w:sz w:val="24"/>
          <w:szCs w:val="24"/>
        </w:rPr>
        <w:t xml:space="preserve">Center for Youth Integration - CIM, </w:t>
      </w:r>
      <w:r w:rsidRPr="00AE6177">
        <w:rPr>
          <w:rFonts w:cs="Times New Roman"/>
          <w:sz w:val="24"/>
          <w:szCs w:val="24"/>
        </w:rPr>
        <w:t>The Belgrade Psychological Center, SOS Children Village Serbia</w:t>
      </w:r>
      <w:r w:rsidRPr="00AE6177">
        <w:rPr>
          <w:rFonts w:cs="Times New Roman"/>
          <w:sz w:val="24"/>
          <w:szCs w:val="24"/>
          <w:bdr w:val="none" w:sz="0" w:space="0" w:color="auto" w:frame="1"/>
          <w:shd w:val="clear" w:color="auto" w:fill="FFFFFF"/>
        </w:rPr>
        <w:t> and Roma Women Center Bibia</w:t>
      </w:r>
      <w:r>
        <w:rPr>
          <w:rFonts w:cs="Times New Roman"/>
          <w:sz w:val="24"/>
          <w:szCs w:val="24"/>
          <w:bdr w:val="none" w:sz="0" w:space="0" w:color="auto" w:frame="1"/>
          <w:shd w:val="clear" w:color="auto" w:fill="FFFFFF"/>
        </w:rPr>
        <w:t>)</w:t>
      </w:r>
      <w:r w:rsidRPr="00AE6177">
        <w:rPr>
          <w:rFonts w:cs="Times New Roman"/>
          <w:sz w:val="24"/>
          <w:szCs w:val="24"/>
          <w:bdr w:val="none" w:sz="0" w:space="0" w:color="auto" w:frame="1"/>
          <w:shd w:val="clear" w:color="auto" w:fill="FFFFFF"/>
        </w:rPr>
        <w:t xml:space="preserve">. As a result of </w:t>
      </w:r>
      <w:r w:rsidRPr="00AE6177">
        <w:rPr>
          <w:rFonts w:cs="Times New Roman"/>
          <w:sz w:val="24"/>
          <w:szCs w:val="24"/>
          <w:bdr w:val="none" w:sz="0" w:space="0" w:color="auto" w:frame="1"/>
          <w:shd w:val="clear" w:color="auto" w:fill="FFFFFF"/>
        </w:rPr>
        <w:lastRenderedPageBreak/>
        <w:t>baseline study, stakeholder mapping activity, consultation with target group and extensive consultation with relevant stakeholders and partners, Lab named “Zemunsko čavororo” (Zemun tad) was established; objectives and scope of activities are agreed and outlined.</w:t>
      </w:r>
      <w:bookmarkStart w:id="0" w:name="_GoBack"/>
      <w:bookmarkEnd w:id="0"/>
    </w:p>
    <w:sectPr w:rsidR="00F905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D4" w:rsidRDefault="00034DD4" w:rsidP="008F57B6">
      <w:pPr>
        <w:spacing w:after="0" w:line="240" w:lineRule="auto"/>
      </w:pPr>
      <w:r>
        <w:separator/>
      </w:r>
    </w:p>
  </w:endnote>
  <w:endnote w:type="continuationSeparator" w:id="0">
    <w:p w:rsidR="00034DD4" w:rsidRDefault="00034DD4" w:rsidP="008F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D4" w:rsidRDefault="00034DD4" w:rsidP="008F57B6">
      <w:pPr>
        <w:spacing w:after="0" w:line="240" w:lineRule="auto"/>
      </w:pPr>
      <w:r>
        <w:separator/>
      </w:r>
    </w:p>
  </w:footnote>
  <w:footnote w:type="continuationSeparator" w:id="0">
    <w:p w:rsidR="00034DD4" w:rsidRDefault="00034DD4" w:rsidP="008F57B6">
      <w:pPr>
        <w:spacing w:after="0" w:line="240" w:lineRule="auto"/>
      </w:pPr>
      <w:r>
        <w:continuationSeparator/>
      </w:r>
    </w:p>
  </w:footnote>
  <w:footnote w:id="1">
    <w:p w:rsidR="008F57B6" w:rsidRPr="008F57B6" w:rsidRDefault="008F57B6" w:rsidP="008F57B6">
      <w:pPr>
        <w:spacing w:after="0" w:line="240" w:lineRule="auto"/>
        <w:ind w:right="6"/>
        <w:jc w:val="both"/>
        <w:rPr>
          <w:rFonts w:cs="Times New Roman"/>
          <w:color w:val="000000"/>
          <w:sz w:val="20"/>
          <w:szCs w:val="20"/>
          <w:lang w:val="en-US"/>
        </w:rPr>
      </w:pPr>
      <w:r w:rsidRPr="008F57B6">
        <w:rPr>
          <w:rStyle w:val="FootnoteReference"/>
          <w:rFonts w:cs="Times New Roman"/>
          <w:color w:val="000000"/>
          <w:sz w:val="20"/>
          <w:szCs w:val="20"/>
        </w:rPr>
        <w:footnoteRef/>
      </w:r>
      <w:r w:rsidRPr="008F57B6">
        <w:rPr>
          <w:rFonts w:cs="Times New Roman"/>
          <w:color w:val="000000"/>
          <w:spacing w:val="-20"/>
          <w:w w:val="95"/>
          <w:sz w:val="20"/>
          <w:szCs w:val="20"/>
        </w:rPr>
        <w:t xml:space="preserve"> </w:t>
      </w:r>
      <w:r w:rsidRPr="008F57B6">
        <w:rPr>
          <w:rFonts w:cs="Times New Roman"/>
          <w:color w:val="000000"/>
          <w:sz w:val="20"/>
          <w:szCs w:val="20"/>
        </w:rPr>
        <w:t>Research indicates that these connections occur at a pace of at least 1,000 per second. However, recent research indicates that the speed could be up to 1 million per second.</w:t>
      </w:r>
      <w:r w:rsidRPr="008F57B6">
        <w:rPr>
          <w:rFonts w:cs="Times New Roman"/>
          <w:color w:val="000000"/>
          <w:spacing w:val="-15"/>
          <w:sz w:val="20"/>
          <w:szCs w:val="20"/>
        </w:rPr>
        <w:t xml:space="preserve"> </w:t>
      </w:r>
      <w:r w:rsidRPr="008F57B6">
        <w:rPr>
          <w:rFonts w:cs="Times New Roman"/>
          <w:color w:val="000000"/>
          <w:sz w:val="20"/>
          <w:szCs w:val="20"/>
        </w:rPr>
        <w:t>Early</w:t>
      </w:r>
      <w:r w:rsidRPr="008F57B6">
        <w:rPr>
          <w:rFonts w:cs="Times New Roman"/>
          <w:color w:val="000000"/>
          <w:spacing w:val="-14"/>
          <w:sz w:val="20"/>
          <w:szCs w:val="20"/>
        </w:rPr>
        <w:t xml:space="preserve"> </w:t>
      </w:r>
      <w:r w:rsidRPr="008F57B6">
        <w:rPr>
          <w:rFonts w:cs="Times New Roman"/>
          <w:color w:val="000000"/>
          <w:sz w:val="20"/>
          <w:szCs w:val="20"/>
        </w:rPr>
        <w:t>Moments</w:t>
      </w:r>
      <w:r w:rsidRPr="008F57B6">
        <w:rPr>
          <w:rFonts w:cs="Times New Roman"/>
          <w:color w:val="000000"/>
          <w:spacing w:val="-14"/>
          <w:sz w:val="20"/>
          <w:szCs w:val="20"/>
        </w:rPr>
        <w:t xml:space="preserve"> </w:t>
      </w:r>
      <w:r w:rsidRPr="008F57B6">
        <w:rPr>
          <w:rFonts w:cs="Times New Roman"/>
          <w:color w:val="000000"/>
          <w:sz w:val="20"/>
          <w:szCs w:val="20"/>
        </w:rPr>
        <w:t>Matter</w:t>
      </w:r>
      <w:r w:rsidRPr="008F57B6">
        <w:rPr>
          <w:rFonts w:cs="Times New Roman"/>
          <w:color w:val="000000"/>
          <w:spacing w:val="-15"/>
          <w:sz w:val="20"/>
          <w:szCs w:val="20"/>
        </w:rPr>
        <w:t xml:space="preserve"> </w:t>
      </w:r>
      <w:r w:rsidRPr="008F57B6">
        <w:rPr>
          <w:rFonts w:cs="Times New Roman"/>
          <w:color w:val="000000"/>
          <w:sz w:val="20"/>
          <w:szCs w:val="20"/>
        </w:rPr>
        <w:t>for</w:t>
      </w:r>
      <w:r w:rsidRPr="008F57B6">
        <w:rPr>
          <w:rFonts w:cs="Times New Roman"/>
          <w:color w:val="000000"/>
          <w:spacing w:val="-15"/>
          <w:sz w:val="20"/>
          <w:szCs w:val="20"/>
        </w:rPr>
        <w:t xml:space="preserve"> </w:t>
      </w:r>
      <w:r w:rsidRPr="008F57B6">
        <w:rPr>
          <w:rFonts w:cs="Times New Roman"/>
          <w:color w:val="000000"/>
          <w:sz w:val="20"/>
          <w:szCs w:val="20"/>
        </w:rPr>
        <w:t>Every</w:t>
      </w:r>
      <w:r w:rsidRPr="008F57B6">
        <w:rPr>
          <w:rFonts w:cs="Times New Roman"/>
          <w:color w:val="000000"/>
          <w:spacing w:val="-15"/>
          <w:sz w:val="20"/>
          <w:szCs w:val="20"/>
        </w:rPr>
        <w:t xml:space="preserve"> </w:t>
      </w:r>
      <w:r w:rsidRPr="008F57B6">
        <w:rPr>
          <w:rFonts w:cs="Times New Roman"/>
          <w:color w:val="000000"/>
          <w:sz w:val="20"/>
          <w:szCs w:val="20"/>
        </w:rPr>
        <w:t>Child</w:t>
      </w:r>
      <w:r w:rsidRPr="008F57B6">
        <w:rPr>
          <w:rFonts w:cs="Times New Roman"/>
          <w:color w:val="000000"/>
          <w:spacing w:val="-12"/>
          <w:sz w:val="20"/>
          <w:szCs w:val="20"/>
        </w:rPr>
        <w:t xml:space="preserve"> </w:t>
      </w:r>
      <w:r w:rsidRPr="008F57B6">
        <w:rPr>
          <w:rFonts w:cs="Times New Roman"/>
          <w:color w:val="000000"/>
          <w:sz w:val="20"/>
          <w:szCs w:val="20"/>
        </w:rPr>
        <w:t>Report,</w:t>
      </w:r>
      <w:r w:rsidRPr="008F57B6">
        <w:rPr>
          <w:rFonts w:cs="Times New Roman"/>
          <w:color w:val="000000"/>
          <w:spacing w:val="-14"/>
          <w:sz w:val="20"/>
          <w:szCs w:val="20"/>
        </w:rPr>
        <w:t xml:space="preserve"> </w:t>
      </w:r>
      <w:r w:rsidRPr="008F57B6">
        <w:rPr>
          <w:rFonts w:cs="Times New Roman"/>
          <w:color w:val="000000"/>
          <w:sz w:val="20"/>
          <w:szCs w:val="20"/>
        </w:rPr>
        <w:t>UNICEF,</w:t>
      </w:r>
      <w:r w:rsidRPr="008F57B6">
        <w:rPr>
          <w:rFonts w:cs="Times New Roman"/>
          <w:color w:val="000000"/>
          <w:spacing w:val="-13"/>
          <w:sz w:val="20"/>
          <w:szCs w:val="20"/>
        </w:rPr>
        <w:t xml:space="preserve"> </w:t>
      </w:r>
      <w:r w:rsidRPr="008F57B6">
        <w:rPr>
          <w:rFonts w:cs="Times New Roman"/>
          <w:color w:val="000000"/>
          <w:sz w:val="20"/>
          <w:szCs w:val="20"/>
        </w:rPr>
        <w:t>2017</w:t>
      </w:r>
    </w:p>
  </w:footnote>
  <w:footnote w:id="2">
    <w:p w:rsidR="008F57B6" w:rsidRPr="008F57B6" w:rsidRDefault="008F57B6" w:rsidP="008F57B6">
      <w:pPr>
        <w:spacing w:after="0" w:line="240" w:lineRule="auto"/>
        <w:ind w:right="6"/>
        <w:jc w:val="both"/>
        <w:rPr>
          <w:rFonts w:cs="Times New Roman"/>
          <w:color w:val="000000"/>
          <w:sz w:val="20"/>
          <w:szCs w:val="20"/>
          <w:lang w:val="en-US"/>
        </w:rPr>
      </w:pPr>
      <w:r w:rsidRPr="008F57B6">
        <w:rPr>
          <w:rStyle w:val="FootnoteReference"/>
          <w:rFonts w:cs="Times New Roman"/>
          <w:color w:val="000000"/>
          <w:sz w:val="20"/>
          <w:szCs w:val="20"/>
        </w:rPr>
        <w:footnoteRef/>
      </w:r>
      <w:r w:rsidRPr="008F57B6">
        <w:rPr>
          <w:rFonts w:cs="Times New Roman"/>
          <w:color w:val="000000"/>
          <w:sz w:val="20"/>
          <w:szCs w:val="20"/>
        </w:rPr>
        <w:t xml:space="preserve"> </w:t>
      </w:r>
      <w:r w:rsidRPr="008F57B6">
        <w:rPr>
          <w:rFonts w:cs="Times New Roman"/>
          <w:color w:val="000000"/>
          <w:sz w:val="20"/>
          <w:szCs w:val="20"/>
        </w:rPr>
        <w:t xml:space="preserve">The Lancet (2016): Special Series on ECD: Advancing Early Childhood Development: From Science to Scale. Available at </w:t>
      </w:r>
      <w:hyperlink r:id="rId1">
        <w:r w:rsidRPr="008F57B6">
          <w:rPr>
            <w:rFonts w:cs="Times New Roman"/>
            <w:color w:val="000000"/>
            <w:sz w:val="20"/>
            <w:szCs w:val="20"/>
          </w:rPr>
          <w:t>http://www.thelancet.com/series/ECD2016</w:t>
        </w:r>
      </w:hyperlink>
    </w:p>
  </w:footnote>
  <w:footnote w:id="3">
    <w:p w:rsidR="008F57B6" w:rsidRPr="000A64A4" w:rsidRDefault="008F57B6" w:rsidP="008F57B6">
      <w:pPr>
        <w:autoSpaceDE w:val="0"/>
        <w:autoSpaceDN w:val="0"/>
        <w:adjustRightInd w:val="0"/>
        <w:spacing w:after="0" w:line="240" w:lineRule="auto"/>
        <w:jc w:val="both"/>
        <w:rPr>
          <w:rFonts w:eastAsia="TimesNewRomanPSMT" w:cs="Times New Roman"/>
          <w:color w:val="000000"/>
          <w:sz w:val="20"/>
          <w:szCs w:val="20"/>
        </w:rPr>
      </w:pPr>
      <w:r w:rsidRPr="000A64A4">
        <w:rPr>
          <w:rStyle w:val="FootnoteReference"/>
          <w:rFonts w:cs="Times New Roman"/>
          <w:sz w:val="20"/>
          <w:szCs w:val="20"/>
        </w:rPr>
        <w:footnoteRef/>
      </w:r>
      <w:r w:rsidRPr="000A64A4">
        <w:rPr>
          <w:rFonts w:cs="Times New Roman"/>
          <w:sz w:val="20"/>
          <w:szCs w:val="20"/>
        </w:rPr>
        <w:t xml:space="preserve"> </w:t>
      </w:r>
      <w:r w:rsidRPr="000A64A4">
        <w:rPr>
          <w:rFonts w:eastAsia="TimesNewRomanPSMT" w:cs="Times New Roman"/>
          <w:color w:val="212121"/>
          <w:sz w:val="20"/>
          <w:szCs w:val="20"/>
        </w:rPr>
        <w:t xml:space="preserve">MICS 2019, </w:t>
      </w:r>
      <w:r w:rsidRPr="000A64A4">
        <w:rPr>
          <w:rFonts w:eastAsia="TimesNewRomanPSMT" w:cs="Times New Roman"/>
          <w:color w:val="000000"/>
          <w:sz w:val="20"/>
          <w:szCs w:val="20"/>
        </w:rPr>
        <w:t xml:space="preserve">Republički zavod za statistiku i UNICEF. 2019. </w:t>
      </w:r>
      <w:r w:rsidRPr="000A64A4">
        <w:rPr>
          <w:rFonts w:eastAsia="TimesNewRomanPSMT" w:cs="Times New Roman"/>
          <w:i/>
          <w:iCs/>
          <w:color w:val="000000"/>
          <w:sz w:val="20"/>
          <w:szCs w:val="20"/>
        </w:rPr>
        <w:t>Istraživanje višestrukih pokazatelja položaja</w:t>
      </w:r>
      <w:r>
        <w:rPr>
          <w:rFonts w:eastAsia="TimesNewRomanPSMT" w:cs="Times New Roman"/>
          <w:i/>
          <w:iCs/>
          <w:color w:val="000000"/>
          <w:sz w:val="20"/>
          <w:szCs w:val="20"/>
        </w:rPr>
        <w:t xml:space="preserve"> </w:t>
      </w:r>
      <w:r w:rsidRPr="000A64A4">
        <w:rPr>
          <w:rFonts w:eastAsia="TimesNewRomanPSMT" w:cs="Times New Roman"/>
          <w:i/>
          <w:iCs/>
          <w:color w:val="000000"/>
          <w:sz w:val="20"/>
          <w:szCs w:val="20"/>
        </w:rPr>
        <w:t>žena i dece u Srbiji i Istraživanje višestrukih pokazatelja položaja žena i dece u romskim naseljima u</w:t>
      </w:r>
      <w:r>
        <w:rPr>
          <w:rFonts w:eastAsia="TimesNewRomanPSMT" w:cs="Times New Roman"/>
          <w:i/>
          <w:iCs/>
          <w:color w:val="000000"/>
          <w:sz w:val="20"/>
          <w:szCs w:val="20"/>
        </w:rPr>
        <w:t xml:space="preserve"> </w:t>
      </w:r>
      <w:r w:rsidRPr="000A64A4">
        <w:rPr>
          <w:rFonts w:eastAsia="TimesNewRomanPSMT" w:cs="Times New Roman"/>
          <w:i/>
          <w:iCs/>
          <w:color w:val="000000"/>
          <w:sz w:val="20"/>
          <w:szCs w:val="20"/>
        </w:rPr>
        <w:t xml:space="preserve">Srbiji, 2019, </w:t>
      </w:r>
      <w:r w:rsidRPr="009A26AE">
        <w:rPr>
          <w:rFonts w:eastAsia="TimesNewRomanPSMT" w:cs="Times New Roman"/>
          <w:i/>
          <w:color w:val="000000"/>
          <w:sz w:val="20"/>
          <w:szCs w:val="20"/>
        </w:rPr>
        <w:t>Izveštaj o nalazima istraživanja.</w:t>
      </w:r>
      <w:r w:rsidRPr="000A64A4">
        <w:rPr>
          <w:rFonts w:eastAsia="TimesNewRomanPSMT" w:cs="Times New Roman"/>
          <w:color w:val="000000"/>
          <w:sz w:val="20"/>
          <w:szCs w:val="20"/>
        </w:rPr>
        <w:t xml:space="preserve"> Beograd, Srbija: Republički zavod za statistiku </w:t>
      </w:r>
      <w:r>
        <w:rPr>
          <w:rFonts w:eastAsia="TimesNewRomanPSMT" w:cs="Times New Roman"/>
          <w:color w:val="000000"/>
          <w:sz w:val="20"/>
          <w:szCs w:val="20"/>
        </w:rPr>
        <w:t xml:space="preserve">I </w:t>
      </w:r>
      <w:r w:rsidRPr="000A64A4">
        <w:rPr>
          <w:rFonts w:eastAsia="TimesNewRomanPSMT" w:cs="Times New Roman"/>
          <w:color w:val="000000"/>
          <w:sz w:val="20"/>
          <w:szCs w:val="20"/>
        </w:rPr>
        <w:t>UNICEF.</w:t>
      </w:r>
    </w:p>
    <w:p w:rsidR="008F57B6" w:rsidRPr="000A64A4" w:rsidRDefault="008F57B6" w:rsidP="008F57B6">
      <w:pPr>
        <w:autoSpaceDE w:val="0"/>
        <w:autoSpaceDN w:val="0"/>
        <w:adjustRightInd w:val="0"/>
        <w:spacing w:after="0" w:line="240" w:lineRule="auto"/>
        <w:rPr>
          <w:rFonts w:eastAsia="TimesNewRomanPSMT" w:cs="Times New Roman"/>
          <w:color w:val="212121"/>
          <w:sz w:val="20"/>
          <w:szCs w:val="20"/>
        </w:rPr>
      </w:pPr>
      <w:r w:rsidRPr="000A64A4">
        <w:rPr>
          <w:rFonts w:eastAsia="TimesNewRomanPSMT" w:cs="Times New Roman"/>
          <w:color w:val="212121"/>
          <w:sz w:val="20"/>
          <w:szCs w:val="20"/>
        </w:rPr>
        <w:t>https://www.unicef.org/serbia/media/16056/file/MICS%206%20Istra%C5%BEivanje%20vi%C5%A1</w:t>
      </w:r>
    </w:p>
    <w:p w:rsidR="008F57B6" w:rsidRPr="000A64A4" w:rsidRDefault="008F57B6" w:rsidP="008F57B6">
      <w:pPr>
        <w:pStyle w:val="FootnoteText"/>
        <w:rPr>
          <w:rFonts w:cs="Times New Roman"/>
        </w:rPr>
      </w:pPr>
      <w:r w:rsidRPr="000A64A4">
        <w:rPr>
          <w:rFonts w:eastAsia="TimesNewRomanPSMT" w:cs="Times New Roman"/>
          <w:color w:val="212121"/>
        </w:rPr>
        <w:t>estrukih%20pokazatelja%20za%202019.%20godinu.pdf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B6"/>
    <w:rsid w:val="00034DD4"/>
    <w:rsid w:val="007E1790"/>
    <w:rsid w:val="008F57B6"/>
    <w:rsid w:val="00F9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13EB8-E7E1-473E-BA5E-C17A0DAC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Char,single space,ft,FOOTNOTES,fn,Car,footnote text,ft Char Char Char,ft Char Char,Fußnote,F1,Geneva 9,Boston 10,Font: Geneva 9,f,ADB,footnote te,Voetnoottekst Maarten,single space Char1,single space Char Char,F"/>
    <w:basedOn w:val="Normal"/>
    <w:link w:val="FootnoteTextChar"/>
    <w:uiPriority w:val="99"/>
    <w:unhideWhenUsed/>
    <w:rsid w:val="008F57B6"/>
    <w:pPr>
      <w:spacing w:after="0" w:line="240" w:lineRule="auto"/>
    </w:pPr>
    <w:rPr>
      <w:rFonts w:ascii="Times New Roman" w:hAnsi="Times New Roman"/>
      <w:sz w:val="20"/>
      <w:szCs w:val="20"/>
      <w:lang w:val="en-GB"/>
    </w:rPr>
  </w:style>
  <w:style w:type="character" w:customStyle="1" w:styleId="FootnoteTextChar">
    <w:name w:val="Footnote Text Char"/>
    <w:aliases w:val="5_G Char,Footnote Text Char Char Char,Char Char,single space Char,ft Char,FOOTNOTES Char,fn Char,Car Char,footnote text Char,ft Char Char Char Char,ft Char Char Char1,Fußnote Char,F1 Char,Geneva 9 Char,Boston 10 Char,f Char,ADB Char"/>
    <w:basedOn w:val="DefaultParagraphFont"/>
    <w:link w:val="FootnoteText"/>
    <w:uiPriority w:val="99"/>
    <w:rsid w:val="008F57B6"/>
    <w:rPr>
      <w:rFonts w:ascii="Times New Roman" w:hAnsi="Times New Roman"/>
      <w:sz w:val="20"/>
      <w:szCs w:val="20"/>
      <w:lang w:val="en-GB"/>
    </w:rPr>
  </w:style>
  <w:style w:type="character" w:styleId="FootnoteReference">
    <w:name w:val="footnote reference"/>
    <w:aliases w:val="16 Point,Superscript 6 Point,ftref,BVI fnr Car Car1 Char,BVI fnr Car Car Char,BVI fnr Car Car Car Car1 Char,BVI fnr Car Car Car Car Car Car Char,BVI fnr Car Car Car Car Char Car Car Car Char,ftref Car Char,nota pié di pagina Car Char"/>
    <w:basedOn w:val="DefaultParagraphFont"/>
    <w:link w:val="Char2"/>
    <w:uiPriority w:val="99"/>
    <w:unhideWhenUsed/>
    <w:qFormat/>
    <w:rsid w:val="008F57B6"/>
    <w:rPr>
      <w:vertAlign w:val="superscript"/>
    </w:rPr>
  </w:style>
  <w:style w:type="paragraph" w:customStyle="1" w:styleId="Char2">
    <w:name w:val="Char2"/>
    <w:basedOn w:val="Normal"/>
    <w:link w:val="FootnoteReference"/>
    <w:uiPriority w:val="99"/>
    <w:rsid w:val="008F57B6"/>
    <w:pPr>
      <w:spacing w:line="240" w:lineRule="exact"/>
    </w:pPr>
    <w:rPr>
      <w:vertAlign w:val="superscript"/>
      <w:lang w:val="en-US"/>
    </w:rPr>
  </w:style>
  <w:style w:type="paragraph" w:styleId="NormalWeb">
    <w:name w:val="Normal (Web)"/>
    <w:basedOn w:val="Normal"/>
    <w:uiPriority w:val="99"/>
    <w:semiHidden/>
    <w:unhideWhenUsed/>
    <w:rsid w:val="008F57B6"/>
    <w:rPr>
      <w:rFonts w:ascii="Times New Roman" w:hAnsi="Times New Roman" w:cs="Times New Roman"/>
      <w:sz w:val="24"/>
      <w:szCs w:val="24"/>
    </w:rPr>
  </w:style>
  <w:style w:type="paragraph" w:customStyle="1" w:styleId="Default">
    <w:name w:val="Default"/>
    <w:rsid w:val="008F57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thelancet.com/series/ECD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Burgund Isakov</dc:creator>
  <cp:keywords/>
  <dc:description/>
  <cp:lastModifiedBy>Anita Burgund Isakov</cp:lastModifiedBy>
  <cp:revision>1</cp:revision>
  <dcterms:created xsi:type="dcterms:W3CDTF">2024-06-21T12:04:00Z</dcterms:created>
  <dcterms:modified xsi:type="dcterms:W3CDTF">2024-06-21T12:05:00Z</dcterms:modified>
</cp:coreProperties>
</file>